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Four: Brainstorm Solutions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Problem statement: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Which health services will  address Sarah’s health needs most effectively?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this lesson, students will find solutions to address Sarah’s health needs and the needs of other at-risk groups in their community. This involves resources to address social determinants not directly tied to health services providers, such as access to nutrition, low-cost food or transportation. It also includes more direct services directed at treating injuries and illness typically incurred by at-risk groups. Students then will begin developing a plan of who will be needed to deliver services and how best to provide these services within the given environment.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Learning objective(s): </w:t>
      </w:r>
    </w:p>
    <w:p w:rsidR="00000000" w:rsidDel="00000000" w:rsidP="00000000" w:rsidRDefault="00000000" w:rsidRPr="00000000" w14:paraId="00000008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create a list of resources and health services to address needs identified in Lesson 3.</w:t>
      </w:r>
    </w:p>
    <w:p w:rsidR="00000000" w:rsidDel="00000000" w:rsidP="00000000" w:rsidRDefault="00000000" w:rsidRPr="00000000" w14:paraId="00000009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identify jobs involved in the delivery of such services.</w:t>
      </w:r>
    </w:p>
    <w:p w:rsidR="00000000" w:rsidDel="00000000" w:rsidP="00000000" w:rsidRDefault="00000000" w:rsidRPr="00000000" w14:paraId="0000000A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research possible delivery options for chosen resources and services.</w:t>
      </w:r>
    </w:p>
    <w:p w:rsidR="00000000" w:rsidDel="00000000" w:rsidP="00000000" w:rsidRDefault="00000000" w:rsidRPr="00000000" w14:paraId="0000000B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Language Objective:</w:t>
      </w:r>
    </w:p>
    <w:p w:rsidR="00000000" w:rsidDel="00000000" w:rsidP="00000000" w:rsidRDefault="00000000" w:rsidRPr="00000000" w14:paraId="0000000D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discuss resources and services needed to address health needs.</w:t>
      </w:r>
    </w:p>
    <w:p w:rsidR="00000000" w:rsidDel="00000000" w:rsidP="00000000" w:rsidRDefault="00000000" w:rsidRPr="00000000" w14:paraId="0000000E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create a list of jobs needed to address needs.</w:t>
      </w:r>
    </w:p>
    <w:p w:rsidR="00000000" w:rsidDel="00000000" w:rsidP="00000000" w:rsidRDefault="00000000" w:rsidRPr="00000000" w14:paraId="0000000F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discuss possible options on how to deliver services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standards (NGSS, CCSS, SMP, CTE):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b w:val="1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a86e8"/>
          <w:u w:val="single"/>
          <w:rtl w:val="0"/>
        </w:rPr>
        <w:t xml:space="preserve">Family and Consumer Sciences National Standards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Analyze factors that contribute to maintaining a safe and healthy school, work and community environments.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1.3.4 Analyze community resources and systems of formal and informal support available to individuals and families.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color w:val="202020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373737"/>
            <w:u w:val="single"/>
            <w:rtl w:val="0"/>
          </w:rPr>
          <w:t xml:space="preserve">CCSS.ELA-LITERACY.RL.7.2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Determine a theme or central idea of a text and analyze its development over the course of the text; provide an objective summary of the text.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color w:val="202020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373737"/>
            <w:u w:val="single"/>
            <w:rtl w:val="0"/>
          </w:rPr>
          <w:t xml:space="preserve">CCSS.ELA-LITERACY.RL.7.4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Determine the meaning of words and phrases as they are used in a text, including figurative and connotative meanings.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373737"/>
            <w:u w:val="single"/>
            <w:rtl w:val="0"/>
          </w:rPr>
          <w:t xml:space="preserve">CCSS.ELA-LITERACY.RST.11-12.7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Integrate and evaluate multiple sources of information presented in diverse formats and media (e.g., quantitative data, video, multimedia) in order to address a question or solve a problem.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4a86e8"/>
          <w:u w:val="single"/>
          <w:rtl w:val="0"/>
        </w:rPr>
        <w:t xml:space="preserve">ELP standards (English Language Proficiency for ELLs)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ELP Standard 2: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…participate in grade-appropriate oral and written exchanges of information, ideas, and analyses, responding to peer, audience, or reader comments and questions…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Soft skills:  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4a86e8"/>
          <w:u w:val="single"/>
          <w:rtl w:val="0"/>
        </w:rPr>
        <w:t xml:space="preserve">21st Century Leadership Skills: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1.A.1 Use a wide range of idea creation techniques such as brainstorming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1.B.1 Develop, implement and communicate new ideas to others effectively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2.C.4 Interpret information and draw conclusions based on the best analysis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2.D. 2 Identify and ask significant questions that clarify various points of view and lead to better solutions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12.D.5 Understand national and international public health and safety issues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4.B.2 Manage the flow of information from a wide variety of sources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2.C.5 Reflect critically on learning experiences and processes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2.A.1 Use various types of reasoning (inductive, deductive, etc.) as appropriate to the situation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2.C.4 Interpret information and draw conclusions based on the best analysis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Math skills: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4a86e8"/>
          <w:u w:val="single"/>
          <w:rtl w:val="0"/>
        </w:rPr>
        <w:t xml:space="preserve">SMP-Standards of Mathematical Practices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Make sense of problems and persevere in solving them. ...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Reason abstractly and quantitatively. ...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Construct viable arguments and critique the reasoning of others. ...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31">
      <w:pPr>
        <w:spacing w:line="240" w:lineRule="auto"/>
        <w:ind w:left="144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create a list of resources for health needs in their community to provide solutions to real-life health problems.</w:t>
      </w:r>
    </w:p>
    <w:p w:rsidR="00000000" w:rsidDel="00000000" w:rsidP="00000000" w:rsidRDefault="00000000" w:rsidRPr="00000000" w14:paraId="00000032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33">
      <w:pPr>
        <w:spacing w:line="240" w:lineRule="auto"/>
        <w:ind w:left="144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While researching social determinants of health  students will begin to explore careers within the healthcare field. 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Materials: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Teacher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Media Files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-Resources and Health Services Worksheet Lesson 4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-CRAP checklist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-Computers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-Lesson 4 Brainstorm Solutions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-CRAP slides 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Slide Decks: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PBL Health Cohort North - Lesson Plan 4 HS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PBL Health Cohort North - Lesson Plan 4 MS</w:t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preparation: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Print copies of student Worksheet. Reserve computers. Prepare digital student copy for resources. Teachers will need to establish contact with a selection of community health providers to function as resources for students.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 required: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120 min + extension (optional)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Grouping of students for instruction: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Groups will continue in the same configuration as previous lessons with new role assignments for each student.</w:t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is the instruction? Consider the PBL Procedure that is being addressed 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cooperatively will work to solve the question of what community resources are available to meet the needs of the community based on the social determinants of health. </w:t>
      </w:r>
    </w:p>
    <w:p w:rsidR="00000000" w:rsidDel="00000000" w:rsidP="00000000" w:rsidRDefault="00000000" w:rsidRPr="00000000" w14:paraId="0000004B">
      <w:pPr>
        <w:spacing w:line="240" w:lineRule="auto"/>
        <w:rPr>
          <w:rFonts w:ascii="Times New Roman" w:cs="Times New Roman" w:eastAsia="Times New Roman" w:hAnsi="Times New Roman"/>
          <w:color w:val="008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b w:val="1"/>
          <w:color w:val="008000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88"/>
        <w:gridCol w:w="4788"/>
        <w:tblGridChange w:id="0">
          <w:tblGrid>
            <w:gridCol w:w="4788"/>
            <w:gridCol w:w="4788"/>
          </w:tblGrid>
        </w:tblGridChange>
      </w:tblGrid>
      <w:tr>
        <w:tc>
          <w:tcPr/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8000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Hand out group role cards to assign new roles. - 5 min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Agree on new roles for lesson 3.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Review role expectations and sentence starters.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Group reviews norms.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Review Lesson 3: Case study and have groups share 1 examples of social determinants of health from the case study - 10 minutes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Each group will share an example they identified in the case study. </w:t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Show video of BBC source example- 3 minutes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Pass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CRAP checklist and the study notes worksheet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Explain worksheet as a means to find and search for reliable information. 15 minutes</w:t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Use the worksheet to analyze the video.</w:t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Day 1 research: Review what students are to be researching and guide group research. 30 minutes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list identified needs and research solutions to address these needs with resources, services, and jobs.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use criteria on the worksheet to select 3 sources.</w:t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Day 2 complete research;</w:t>
            </w:r>
          </w:p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 Check with groups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 individually during work time that sources and results provide effective solutions. 60 minutes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use template to organize results by needs, determinants, and solutions.</w:t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Extension:</w:t>
            </w:r>
          </w:p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Teacher will have to reach out to community health providers to create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 connections with community resource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s to help students identify resources and services. Time varies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communicate with community members and health professionals to find solutions and brainstorm delivery options.</w:t>
            </w:r>
          </w:p>
        </w:tc>
      </w:tr>
    </w:tbl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Accommodations: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modification for ELL: provide sentence starters for worksheet; use language line to help students communicate with community;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Assessment: Formative: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Individual Table Worksheet</w:t>
      </w:r>
    </w:p>
    <w:p w:rsidR="00000000" w:rsidDel="00000000" w:rsidP="00000000" w:rsidRDefault="00000000" w:rsidRPr="00000000" w14:paraId="0000006B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CRAP worksheet</w:t>
      </w:r>
    </w:p>
    <w:p w:rsidR="00000000" w:rsidDel="00000000" w:rsidP="00000000" w:rsidRDefault="00000000" w:rsidRPr="00000000" w14:paraId="0000006C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References/Resources: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</w:p>
    <w:p w:rsidR="00000000" w:rsidDel="00000000" w:rsidP="00000000" w:rsidRDefault="00000000" w:rsidRPr="00000000" w14:paraId="0000006E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Based on student research</w:t>
      </w:r>
    </w:p>
    <w:p w:rsidR="00000000" w:rsidDel="00000000" w:rsidP="00000000" w:rsidRDefault="00000000" w:rsidRPr="00000000" w14:paraId="0000006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Ongoing: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Artiga, S., &amp; Hinton, E. (2019, July 9). Beyond Health Care: The Role of Social Determinants in Promoting Health and Health Equity. Retrieved from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https://www.kff.org/disparities-policy/issue-brief/beyond-health-care-the-role-of-social-determinants-in-promoting-health-and-health-equity/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2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Social Determinants of Health. (n.d.). Retrieved from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https://www.healthypeople.gov/2020/topics-objectives/topic/social-determinants-of-health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4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222222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healthypeople.gov/2020/topics-objectives/topic/social-determinants-of-health" TargetMode="External"/><Relationship Id="rId9" Type="http://schemas.openxmlformats.org/officeDocument/2006/relationships/hyperlink" Target="https://www.kff.org/disparities-policy/issue-brief/beyond-health-care-the-role-of-social-determinants-in-promoting-health-and-health-equity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corestandards.org/ELA-Literacy/RL/7/2/" TargetMode="External"/><Relationship Id="rId7" Type="http://schemas.openxmlformats.org/officeDocument/2006/relationships/hyperlink" Target="http://www.corestandards.org/ELA-Literacy/RL/7/4/" TargetMode="External"/><Relationship Id="rId8" Type="http://schemas.openxmlformats.org/officeDocument/2006/relationships/hyperlink" Target="http://www.corestandards.org/ELA-Literacy/RST/11-12/7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